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7579F8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284058">
              <w:t>DERECHO MERCANTIL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3A369F"/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21B21" w:rsidRDefault="00021B21">
            <w:r>
              <w:t>Profesor Titular de Derecho Mercantil</w:t>
            </w:r>
          </w:p>
          <w:p w:rsidR="003A369F" w:rsidRDefault="001D7F79">
            <w:r>
              <w:t xml:space="preserve">Experto en </w:t>
            </w:r>
            <w:r w:rsidR="00284058">
              <w:t>Derecho societario, bancario y concursal</w:t>
            </w:r>
          </w:p>
          <w:p w:rsidR="001D7F79" w:rsidRDefault="001D7F79">
            <w:r>
              <w:t>Experiencia investigadora</w:t>
            </w:r>
            <w:r w:rsidR="00284058">
              <w:t xml:space="preserve"> como IP en dos proyectos sobre la Reforma de la regulación bancaria</w:t>
            </w:r>
          </w:p>
          <w:p w:rsidR="00021B21" w:rsidRDefault="00021B21">
            <w:r>
              <w:t>Dos sexenios de investigación (CNEAI)</w:t>
            </w:r>
            <w:bookmarkStart w:id="0" w:name="_GoBack"/>
            <w:bookmarkEnd w:id="0"/>
          </w:p>
          <w:p w:rsidR="001D7F79" w:rsidRDefault="001D7F79">
            <w:r>
              <w:t>Experiencia docent</w:t>
            </w:r>
            <w:r w:rsidR="00284058">
              <w:t>e con más de 25 años de docencia en la materia y 5 quinquenios de docencia reconocidos.</w:t>
            </w:r>
          </w:p>
          <w:p w:rsidR="001D7F79" w:rsidRDefault="001D7F79"/>
          <w:p w:rsidR="001D7F79" w:rsidRDefault="001D7F79"/>
          <w:p w:rsidR="001D7F79" w:rsidRDefault="001D7F79" w:rsidP="001D7F79"/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>
            <w:r>
              <w:t>1.</w:t>
            </w:r>
            <w:r w:rsidR="00284058">
              <w:t xml:space="preserve"> Derecho de Sociedades y gobierno corporativo</w:t>
            </w:r>
          </w:p>
          <w:p w:rsidR="001D7F79" w:rsidRDefault="001D7F79">
            <w:r>
              <w:t>2.</w:t>
            </w:r>
            <w:r w:rsidR="00284058">
              <w:t xml:space="preserve"> Regulación bancaria</w:t>
            </w:r>
          </w:p>
          <w:p w:rsidR="001D7F79" w:rsidRDefault="001D7F79">
            <w:r>
              <w:t>3.</w:t>
            </w:r>
            <w:r w:rsidR="00284058">
              <w:t xml:space="preserve"> Restructuración de empresas</w:t>
            </w:r>
          </w:p>
          <w:p w:rsidR="001D7F79" w:rsidRDefault="001D7F79">
            <w:r>
              <w:t>4.</w:t>
            </w:r>
            <w:r w:rsidR="00284058">
              <w:t xml:space="preserve"> Derecho concursal</w:t>
            </w:r>
          </w:p>
          <w:p w:rsidR="001D7F79" w:rsidRDefault="001D7F79" w:rsidP="00284058"/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284058" w:rsidRPr="00284058" w:rsidRDefault="00284058" w:rsidP="00284058">
            <w:pPr>
              <w:rPr>
                <w:lang w:val="es-ES_tradnl"/>
              </w:rPr>
            </w:pPr>
            <w:r>
              <w:t xml:space="preserve">1. </w:t>
            </w:r>
            <w:r w:rsidRPr="00284058">
              <w:rPr>
                <w:lang w:val="es-ES_tradnl"/>
              </w:rPr>
              <w:t xml:space="preserve">Proyecto de investigación sobre “La significación de la reforma contable y societaria y perspectivas de desarrollo en el contraste entre el modelo europeo y el modelo americano” (PR 269/98-8194/98-nº 8194), financiado por el Programa Multidisciplinar de </w:t>
            </w:r>
            <w:smartTag w:uri="urn:schemas-microsoft-com:office:smarttags" w:element="PersonName">
              <w:smartTagPr>
                <w:attr w:name="ProductID" w:val="la Universidad Complutense"/>
              </w:smartTagPr>
              <w:r w:rsidRPr="00284058">
                <w:rPr>
                  <w:lang w:val="es-ES_tradnl"/>
                </w:rPr>
                <w:t>la Universidad Complutense</w:t>
              </w:r>
            </w:smartTag>
            <w:r w:rsidRPr="00284058">
              <w:rPr>
                <w:lang w:val="es-ES_tradnl"/>
              </w:rPr>
              <w:t xml:space="preserve"> de Madrid, desarrollado durante los años 1.999-2.002, siendo investigador responsable el prof. Dr. D. Fernando Rodríguez Artigas, catedrático de Derecho Mercantil de la U.C.M., obteniéndose una financiación por importe de 3.000.000 pesetas.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2. </w:t>
            </w:r>
            <w:r w:rsidRPr="00284058">
              <w:rPr>
                <w:lang w:val="es-ES_tradnl"/>
              </w:rPr>
              <w:t xml:space="preserve">Proyecto de investigación titulado “Las grandes empresas entre el Derecho de sociedades y el mercado de valores”, financiado por el Programa Nacional de Promoción general del conocimiento del Ministerio de Ciencia y Tecnología, desarrollado durante los años 2.000-2.003, siendo investigador responsable el prof. Dr. D. </w:t>
            </w:r>
            <w:smartTag w:uri="urn:schemas-microsoft-com:office:smarttags" w:element="PersonName">
              <w:smartTagPr>
                <w:attr w:name="ProductID" w:val="Gaudencio Esteban Velasco"/>
              </w:smartTagPr>
              <w:r w:rsidRPr="00284058">
                <w:rPr>
                  <w:lang w:val="es-ES_tradnl"/>
                </w:rPr>
                <w:t>Gaudencio Esteban Velasco</w:t>
              </w:r>
            </w:smartTag>
            <w:r w:rsidRPr="00284058">
              <w:rPr>
                <w:lang w:val="es-ES_tradnl"/>
              </w:rPr>
              <w:t>, catedrático de Derecho Mercantil de la U.C.M., obteniéndose una financiación por importe de 5.040.000 pesetas (REF: BJU 2000-0590). Examinado y evaluado como “Muy satisfactorio” por el Gestor/Colaborador del Área de Ciencias Jurídicas.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3. </w:t>
            </w:r>
            <w:r w:rsidRPr="00284058">
              <w:rPr>
                <w:lang w:val="es-ES_tradnl"/>
              </w:rPr>
              <w:t xml:space="preserve">Proyecto de investigación sobre “Las grandes empresas entre el Derecho de sociedades y el mercado de valores (II)”, financiado por el Programa Nacional de Promoción general del conocimiento del Ministerio de Educación y Ciencia, desarrollado durante los años 2.004-2.007, siendo investigador responsable el prof. Dr. D. </w:t>
            </w:r>
            <w:smartTag w:uri="urn:schemas-microsoft-com:office:smarttags" w:element="PersonName">
              <w:smartTagPr>
                <w:attr w:name="ProductID" w:val="Gaudencio Esteban Velasco"/>
              </w:smartTagPr>
              <w:r w:rsidRPr="00284058">
                <w:rPr>
                  <w:lang w:val="es-ES_tradnl"/>
                </w:rPr>
                <w:t>Gaudencio Esteban Velasco</w:t>
              </w:r>
            </w:smartTag>
            <w:r w:rsidRPr="00284058">
              <w:rPr>
                <w:lang w:val="es-ES_tradnl"/>
              </w:rPr>
              <w:t>, catedrático de Derecho Mercantil de la U.C.M., obteniéndose una financiación por importe de 28.980 euros (REF: SEJ2004-03259/JURI).</w:t>
            </w:r>
          </w:p>
          <w:p w:rsidR="00284058" w:rsidRPr="00284058" w:rsidRDefault="00284058" w:rsidP="00284058">
            <w:r>
              <w:t xml:space="preserve">4. </w:t>
            </w:r>
            <w:r w:rsidRPr="00284058">
              <w:t xml:space="preserve">Proyecto de investigación titulado “Principios Unidroit de contratos comerciales internacionales y otros intentos de unificación del derecho privado de obligaciones: correlación e integración del derecho contractual español”, financiado por el Plan Nacional I+D+I (2004-2007) del Ministerio </w:t>
            </w:r>
            <w:r w:rsidRPr="00284058">
              <w:lastRenderedPageBreak/>
              <w:t>de Educación y Ciencia, desarrollado durante los años 2007-2010, siendo investigador principal el prof. Dr. D. Eduardo Valpuesta Gastaminza, profesor Titular de Derecho Mercantil de la Universidad de Navarra, obteniéndose una financiación por importe de 36.300 euros (REF: SEJ2007-65988/JURI).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5. </w:t>
            </w:r>
            <w:r w:rsidRPr="00284058">
              <w:rPr>
                <w:lang w:val="es-ES_tradnl"/>
              </w:rPr>
              <w:t>Proyecto de investigación titulado “</w:t>
            </w:r>
            <w:r w:rsidRPr="00284058">
              <w:rPr>
                <w:bCs/>
                <w:iCs/>
              </w:rPr>
              <w:t>Posibles alternativas al sistema del capital social: examen de determinadas soluciones legislativas en Derecho comparado y propuestas de modificación legal en Europa</w:t>
            </w:r>
            <w:r w:rsidRPr="00284058">
              <w:rPr>
                <w:lang w:val="es-ES_tradnl"/>
              </w:rPr>
              <w:t>”, financiado por</w:t>
            </w:r>
            <w:r w:rsidRPr="00284058">
              <w:t xml:space="preserve"> el Plan Nacional I+D+I (2004-2007)</w:t>
            </w:r>
            <w:r w:rsidRPr="00284058">
              <w:rPr>
                <w:lang w:val="es-ES_tradnl"/>
              </w:rPr>
              <w:t xml:space="preserve"> del </w:t>
            </w:r>
            <w:r w:rsidRPr="00284058">
              <w:rPr>
                <w:bCs/>
              </w:rPr>
              <w:t>Ministerio de Educación y Ciencia</w:t>
            </w:r>
            <w:r w:rsidRPr="00284058">
              <w:rPr>
                <w:lang w:val="es-ES_tradnl"/>
              </w:rPr>
              <w:t xml:space="preserve">, desarrollado durante los años 2007-2010, siendo investigadora principal </w:t>
            </w:r>
            <w:smartTag w:uri="urn:schemas-microsoft-com:office:smarttags" w:element="PersonName">
              <w:smartTagPr>
                <w:attr w:name="ProductID" w:val="la prof. Dr. D"/>
              </w:smartTagPr>
              <w:smartTag w:uri="urn:schemas-microsoft-com:office:smarttags" w:element="PersonName">
                <w:smartTagPr>
                  <w:attr w:name="ProductID" w:val="la prof. Dr."/>
                </w:smartTagPr>
                <w:r w:rsidRPr="00284058">
                  <w:rPr>
                    <w:lang w:val="es-ES_tradnl"/>
                  </w:rPr>
                  <w:t>la prof. Dr.</w:t>
                </w:r>
              </w:smartTag>
              <w:r w:rsidRPr="00284058">
                <w:rPr>
                  <w:lang w:val="es-ES_tradnl"/>
                </w:rPr>
                <w:t xml:space="preserve"> D</w:t>
              </w:r>
            </w:smartTag>
            <w:r w:rsidRPr="00284058">
              <w:rPr>
                <w:lang w:val="es-ES_tradnl"/>
              </w:rPr>
              <w:t xml:space="preserve">ª. </w:t>
            </w:r>
            <w:smartTag w:uri="urn:schemas-microsoft-com:office:smarttags" w:element="PersonName">
              <w:smartTagPr>
                <w:attr w:name="ProductID" w:val="Carmen Alonso Ledesma"/>
              </w:smartTagPr>
              <w:r w:rsidRPr="00284058">
                <w:rPr>
                  <w:lang w:val="es-ES_tradnl"/>
                </w:rPr>
                <w:t>Carmen Alonso Ledesma</w:t>
              </w:r>
            </w:smartTag>
            <w:r w:rsidRPr="00284058">
              <w:rPr>
                <w:lang w:val="es-ES_tradnl"/>
              </w:rPr>
              <w:t xml:space="preserve">, catedrática de Derecho Mercantil de </w:t>
            </w:r>
            <w:smartTag w:uri="urn:schemas-microsoft-com:office:smarttags" w:element="PersonName">
              <w:smartTagPr>
                <w:attr w:name="ProductID" w:val="la Universidad Complutense"/>
              </w:smartTagPr>
              <w:r w:rsidRPr="00284058">
                <w:rPr>
                  <w:lang w:val="es-ES_tradnl"/>
                </w:rPr>
                <w:t>la Universidad Complutense</w:t>
              </w:r>
            </w:smartTag>
            <w:r w:rsidRPr="00284058">
              <w:rPr>
                <w:lang w:val="es-ES_tradnl"/>
              </w:rPr>
              <w:t xml:space="preserve"> de Madrid, obteniéndose una financiación por importe de 48.400 euros (REF: SEJ2007-63520/JURI).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6. </w:t>
            </w:r>
            <w:r w:rsidRPr="00284058">
              <w:rPr>
                <w:lang w:val="es-ES_tradnl"/>
              </w:rPr>
              <w:t>Proyecto de investigación titulado “</w:t>
            </w:r>
            <w:r w:rsidRPr="00284058">
              <w:rPr>
                <w:bCs/>
                <w:iCs/>
              </w:rPr>
              <w:t>La Reforma del régimen jurídico de las Cajas de Ahorros y otros aspectos del Mercado del crédito en el marco de la crisis económica y financiera</w:t>
            </w:r>
            <w:r w:rsidRPr="00284058">
              <w:rPr>
                <w:lang w:val="es-ES_tradnl"/>
              </w:rPr>
              <w:t>”, financiado por</w:t>
            </w:r>
            <w:r w:rsidRPr="00284058">
              <w:t xml:space="preserve"> el Plan Nacional I+D+I (2008-2011)</w:t>
            </w:r>
            <w:r w:rsidRPr="00284058">
              <w:rPr>
                <w:lang w:val="es-ES_tradnl"/>
              </w:rPr>
              <w:t xml:space="preserve"> del </w:t>
            </w:r>
            <w:r w:rsidRPr="00284058">
              <w:rPr>
                <w:bCs/>
              </w:rPr>
              <w:t>Ministerio de Ciencia e Innovación</w:t>
            </w:r>
            <w:r w:rsidRPr="00284058">
              <w:rPr>
                <w:lang w:val="es-ES_tradnl"/>
              </w:rPr>
              <w:t xml:space="preserve">, desarrollado durante los años 2012-2014, siendo investigador principal el prof. Dr. D. José Luis Colino Mediavilla, Profesor Titular de Derecho Mercantil de </w:t>
            </w:r>
            <w:smartTag w:uri="urn:schemas-microsoft-com:office:smarttags" w:element="PersonName">
              <w:smartTagPr>
                <w:attr w:name="ProductID" w:val="la Universidad Complutense"/>
              </w:smartTagPr>
              <w:r w:rsidRPr="00284058">
                <w:rPr>
                  <w:lang w:val="es-ES_tradnl"/>
                </w:rPr>
                <w:t>la Universidad Complutense</w:t>
              </w:r>
            </w:smartTag>
            <w:r w:rsidRPr="00284058">
              <w:rPr>
                <w:lang w:val="es-ES_tradnl"/>
              </w:rPr>
              <w:t xml:space="preserve"> de Madrid, obteniéndose una financiación por importe de 30.250 euros (REF: DER2011-27036).</w:t>
            </w:r>
          </w:p>
          <w:p w:rsidR="00284058" w:rsidRPr="00284058" w:rsidRDefault="00284058" w:rsidP="00284058">
            <w:r>
              <w:t xml:space="preserve">7. </w:t>
            </w:r>
            <w:r w:rsidRPr="00284058">
              <w:t xml:space="preserve">Proyecto de Investigación titulado «La unificación del Derecho privado patrimonial europeo: el Marco Común de Referencia y otras propuestas de integración», financiado por el </w:t>
            </w:r>
            <w:r w:rsidRPr="00284058">
              <w:rPr>
                <w:i/>
                <w:iCs/>
              </w:rPr>
              <w:t>PIUNA Plan de Investigación de la Universidad de Navarra</w:t>
            </w:r>
            <w:r w:rsidRPr="00284058">
              <w:t>. Plazo de ejecución: 2012-2013 a 2014-2015. Total de investigadores: 14. Investigador principal: Eduardo Valpuesta. Dotación económica: 7.000 € por anualidad.</w:t>
            </w:r>
          </w:p>
          <w:p w:rsidR="00284058" w:rsidRPr="00284058" w:rsidRDefault="00284058" w:rsidP="00284058">
            <w:pPr>
              <w:rPr>
                <w:bCs/>
              </w:rPr>
            </w:pPr>
            <w:r>
              <w:t xml:space="preserve">8. </w:t>
            </w:r>
            <w:r w:rsidRPr="00284058">
              <w:rPr>
                <w:bCs/>
              </w:rPr>
              <w:t xml:space="preserve">Proyecto de Investigación titulado “El mercado del crédito tras la crisis económica y financiera: el nuevo sistema español y europeo de regulación y supervisión bancaria (II)”, aprobado por Resolución de 30 de julio de 2015 </w:t>
            </w:r>
            <w:bookmarkStart w:id="1" w:name="_Hlk503349146"/>
            <w:r w:rsidRPr="00284058">
              <w:rPr>
                <w:bCs/>
              </w:rPr>
              <w:t xml:space="preserve">de la Secretaria de Estado de Investigación, Desarrollo e Innovación, de ayudas para la realización de proyectos de investigación dentro del Programa Estatal de Fomento de la Investigación Científica y Técnica de Excelencia, Subprograma Estatal de Generación de Conocimiento, convocatoria 2014, modalidad 1: Proyectos de I+D, </w:t>
            </w:r>
            <w:r w:rsidRPr="00284058">
              <w:rPr>
                <w:bCs/>
                <w:lang w:val="es-ES_tradnl"/>
              </w:rPr>
              <w:t xml:space="preserve">desarrollado durante los años 2015-2017, </w:t>
            </w:r>
            <w:r w:rsidRPr="00284058">
              <w:rPr>
                <w:bCs/>
              </w:rPr>
              <w:t>siendo investigador Principal el prof. Dr. D. José Carlos González Vázquez, obteniendo una financiación por importe de 21.175 euros (Referencia DER2014-54519-P).</w:t>
            </w:r>
            <w:bookmarkEnd w:id="1"/>
          </w:p>
          <w:p w:rsidR="00284058" w:rsidRPr="00284058" w:rsidRDefault="00284058" w:rsidP="00284058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284058">
              <w:rPr>
                <w:bCs/>
              </w:rPr>
              <w:t xml:space="preserve">Proyecto de Investigación titulado “El mercado del crédito tras la crisis económica y financiera: el nuevo sistema español y europeo de regulación y supervisión bancaria (III)”, aprobado por Resolución de 14 de junio de 2018, de la Secretaria de Estado de Investigación, Desarrollo e Innovación y Presidencia de la Agencial Estatal de Investigación, por la que se conceden ayudas a proyectos de I+D correspondientes al Programa Estatal de Fomento de la Investigación Científica y Técnica de Excelencia, Subprograma Estatal de Generación de Conocimiento, convocatoria 2017, modalidad 1: Proyectos de I+D, </w:t>
            </w:r>
            <w:r w:rsidRPr="00284058">
              <w:rPr>
                <w:bCs/>
                <w:lang w:val="es-ES_tradnl"/>
              </w:rPr>
              <w:t xml:space="preserve">desarrollado durante los años 2018-2019, </w:t>
            </w:r>
            <w:r w:rsidRPr="00284058">
              <w:rPr>
                <w:bCs/>
              </w:rPr>
              <w:t>siendo investigador Principal el prof. Dr. D. José Carlos González Vázquez, obteniendo una financiación por importe de 7.260 euros (Referencia DER2017-84339-P).</w:t>
            </w:r>
          </w:p>
          <w:p w:rsidR="001D7F79" w:rsidRDefault="001D7F79" w:rsidP="006E5F82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Pr="00284058" w:rsidRDefault="00284058" w:rsidP="006E5F82">
            <w:r w:rsidRPr="00284058">
              <w:t>(Sólo últimos 10 años)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“Contrato de préstamo mercantil, Contrato de factoring y Contrato de leasing o arrendamiento financiero”, en AA.VV., </w:t>
            </w:r>
            <w:r w:rsidRPr="00284058">
              <w:rPr>
                <w:i/>
                <w:lang w:val="es-ES_tradnl"/>
              </w:rPr>
              <w:t>Contratos mercantiles</w:t>
            </w:r>
            <w:r w:rsidRPr="00284058">
              <w:rPr>
                <w:lang w:val="es-ES_tradnl"/>
              </w:rPr>
              <w:t xml:space="preserve">, dir. por J.M. de </w:t>
            </w:r>
            <w:smartTag w:uri="urn:schemas-microsoft-com:office:smarttags" w:element="PersonName">
              <w:smartTagPr>
                <w:attr w:name="ProductID" w:val="la Cuesta Rute"/>
              </w:smartTagPr>
              <w:r w:rsidRPr="00284058">
                <w:rPr>
                  <w:lang w:val="es-ES_tradnl"/>
                </w:rPr>
                <w:t>la Cuesta Rute</w:t>
              </w:r>
            </w:smartTag>
            <w:r w:rsidRPr="00284058">
              <w:rPr>
                <w:lang w:val="es-ES_tradnl"/>
              </w:rPr>
              <w:t xml:space="preserve"> y coord. por E. Valpuesta Gastaminza, 2ª Ed., Ed. Bosch, Barcelona, 2.009, T. II, pp. 1.194-1.329.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“Libro IV.F. Contratos de préstamo/crédito”, en AA.VV., </w:t>
            </w:r>
            <w:r w:rsidRPr="00284058">
              <w:rPr>
                <w:i/>
                <w:lang w:val="es-ES_tradnl"/>
              </w:rPr>
              <w:t>Unificación del Derecho Patrimonial Europeo. Marco común de referencia y Derecho español</w:t>
            </w:r>
            <w:r w:rsidRPr="00284058">
              <w:rPr>
                <w:lang w:val="es-ES_tradnl"/>
              </w:rPr>
              <w:t>, coord. por E. Valpuesta Gastaminza, Ed. Bosch, Barcelona, 2.011, pp. 367-384.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12 “Sociedades de Capital (II). Financiación mediante recursos propios y ajenos”, en AA.VV., </w:t>
            </w:r>
            <w:r w:rsidRPr="00284058">
              <w:rPr>
                <w:i/>
                <w:lang w:val="es-ES_tradnl"/>
              </w:rPr>
              <w:t>Derecho Mercantil I</w:t>
            </w:r>
            <w:r w:rsidRPr="00284058">
              <w:rPr>
                <w:lang w:val="es-ES_tradnl"/>
              </w:rPr>
              <w:t>, dirigido por J.M. de la Cuesta Rute, Barcelona, Ed. Huygens, Colección LEX Académica, 2.011, pp. 287-311; 3ª Ed., 2015, pp. 297-322.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17 “Sociedades de Capital (VI). Modificación de estatutos. Aumento y reducción del capital social”, en AA.VV., </w:t>
            </w:r>
            <w:r w:rsidRPr="00284058">
              <w:rPr>
                <w:i/>
                <w:lang w:val="es-ES_tradnl"/>
              </w:rPr>
              <w:t>Derecho Mercantil I</w:t>
            </w:r>
            <w:r w:rsidRPr="00284058">
              <w:rPr>
                <w:lang w:val="es-ES_tradnl"/>
              </w:rPr>
              <w:t>, dirigido por J.M. de la Cuesta Rute, Barcelona, Ed. Huygens, Colección LEX Académica, 2.011, pp. 403-435; 3ª Ed., 2015, pp. 421-453.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7 “Sociedades de Capital (I). Principios. Fundación. Financiación”, (en colaboración con C. Boldó Rodás), en AA.VV., </w:t>
            </w:r>
            <w:r w:rsidRPr="00284058">
              <w:rPr>
                <w:i/>
                <w:lang w:val="es-ES_tradnl"/>
              </w:rPr>
              <w:t>Derecho Mercantil para grados no jurídicos</w:t>
            </w:r>
            <w:r w:rsidRPr="00284058">
              <w:rPr>
                <w:lang w:val="es-ES_tradnl"/>
              </w:rPr>
              <w:t>, dirigido por J.M. de la Cuesta Rute, Barcelona, Ed., Huygens, Colección LEX Académica, 2.011, pp. 165-195; 2ª Ed., 2.013, pp. 165-195; 3ª Ed., 2.014, pp. 173-204; 4ª Ed., 2015, pp. 173-206.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10 “Sociedades de Capital (IV). Cuentas anuales. Modificación de estatutos”, (en colaboración con C. Torrubia Chalmeta), en AA.VV., </w:t>
            </w:r>
            <w:r w:rsidRPr="00284058">
              <w:rPr>
                <w:i/>
                <w:lang w:val="es-ES_tradnl"/>
              </w:rPr>
              <w:t>Derecho Mercantil para grados no jurídicos</w:t>
            </w:r>
            <w:r w:rsidRPr="00284058">
              <w:rPr>
                <w:lang w:val="es-ES_tradnl"/>
              </w:rPr>
              <w:t>, dirigido por J.M. de la Cuesta Rute, Barcelona, Ed., Huygens, Colección LEX Académica, 2.011, pp. 237-260; 2ª Ed., 2.013, pp. 237-260; 3ª Ed., 2.014, pp. 247-270; 4ª Ed., 2015, pp. 247-270.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“Las acciones de reintegración”, en AA.VV., </w:t>
            </w:r>
            <w:r w:rsidRPr="00284058">
              <w:rPr>
                <w:i/>
                <w:lang w:val="es-ES_tradnl"/>
              </w:rPr>
              <w:t>Tratado Práctico del Derecho Concursal y su Reforma</w:t>
            </w:r>
            <w:r w:rsidRPr="00284058">
              <w:rPr>
                <w:lang w:val="es-ES_tradnl"/>
              </w:rPr>
              <w:t>, dir. por F. Martínez Sanz y coord. por A. Puetz, Ed. Tecnos, Madrid, 2012, pp. 588-651.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39 “La declaración de concurso”, en AA.VV., </w:t>
            </w:r>
            <w:r w:rsidRPr="00284058">
              <w:rPr>
                <w:i/>
                <w:lang w:val="es-ES_tradnl"/>
              </w:rPr>
              <w:t>Derecho Mercantil II</w:t>
            </w:r>
            <w:r w:rsidRPr="00284058">
              <w:rPr>
                <w:lang w:val="es-ES_tradnl"/>
              </w:rPr>
              <w:t>, dirigido por J.M. de la Cuesta Rute, Barcelona, Ed. Huygens, Colección LEX Académica, 2.012, pp. 373-399; 2ª Ed., enero 2.014, pp. 393-419; 3ª Ed., julio 2.014, pp. 397-424; 4ª Ed., 2.016, pp. 399-426.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Tema 40 “Los órganos del concurso”, en AA.VV., </w:t>
            </w:r>
            <w:r w:rsidRPr="00284058">
              <w:rPr>
                <w:i/>
                <w:lang w:val="es-ES_tradnl"/>
              </w:rPr>
              <w:t>Derecho Mercantil II</w:t>
            </w:r>
            <w:r w:rsidRPr="00284058">
              <w:rPr>
                <w:lang w:val="es-ES_tradnl"/>
              </w:rPr>
              <w:t>, dirigido por J.M. de la Cuesta Rute, Barcelona, Ed. Huygens, Colección LEX Académica, 2.012, pp. 401-417; 2ª Ed., enero 2.014, pp. 421-437; 3ª Ed., julio 2.014, pp. 425-441; 4ª Ed., 2.016, pp. 427-443.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“Aspectos controvertidos del régimen jurídico del FROB”, en AA.VV., </w:t>
            </w:r>
            <w:r w:rsidRPr="00284058">
              <w:rPr>
                <w:i/>
                <w:lang w:val="es-ES_tradnl"/>
              </w:rPr>
              <w:t>Las Cajas de Ahorros y la Prevención y Tratamiento de las Crisis de las Entidades de Crédito</w:t>
            </w:r>
            <w:r w:rsidRPr="00284058">
              <w:rPr>
                <w:lang w:val="es-ES_tradnl"/>
              </w:rPr>
              <w:t>, dir. por J.L. Colino Mediavilla y J.C. González Vázquez, Granada, Ed. Comares, 2014, pp. 147-178.</w:t>
            </w:r>
          </w:p>
          <w:p w:rsidR="00284058" w:rsidRPr="00284058" w:rsidRDefault="00284058" w:rsidP="00284058">
            <w:pPr>
              <w:rPr>
                <w:b/>
              </w:rPr>
            </w:pPr>
            <w:r w:rsidRPr="00284058">
              <w:rPr>
                <w:lang w:val="es-ES_tradnl"/>
              </w:rPr>
              <w:t>- “</w:t>
            </w:r>
            <w:r w:rsidRPr="00284058">
              <w:t xml:space="preserve">El progresivo reforzamiento de la posición de los accionistas en las sociedades estadounidenses a partir de la </w:t>
            </w:r>
            <w:r w:rsidRPr="00284058">
              <w:rPr>
                <w:i/>
              </w:rPr>
              <w:t xml:space="preserve">Sarbanes-Oxley Act </w:t>
            </w:r>
            <w:r w:rsidRPr="00284058">
              <w:t>de 2002”, en AA.VV.</w:t>
            </w:r>
            <w:r w:rsidRPr="00284058">
              <w:rPr>
                <w:b/>
              </w:rPr>
              <w:t xml:space="preserve">, </w:t>
            </w:r>
            <w:r w:rsidRPr="00284058">
              <w:rPr>
                <w:i/>
              </w:rPr>
              <w:t xml:space="preserve">Junta General y Consejo de Administración en la Sociedad Cotizada, </w:t>
            </w:r>
            <w:r w:rsidRPr="00284058">
              <w:t>Vol. II,</w:t>
            </w:r>
            <w:r w:rsidRPr="00284058">
              <w:rPr>
                <w:i/>
              </w:rPr>
              <w:t xml:space="preserve"> </w:t>
            </w:r>
            <w:r w:rsidRPr="00284058">
              <w:t>Ed. Aranzadi, Cizur Menor, 2016, pp.  1.341-1.391.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“Comentario a los arts. 148 a 153” en AA.VV., </w:t>
            </w:r>
            <w:r w:rsidRPr="00284058">
              <w:rPr>
                <w:i/>
                <w:lang w:val="es-ES_tradnl"/>
              </w:rPr>
              <w:t>Comentario a la Ley Concursal</w:t>
            </w:r>
            <w:r w:rsidRPr="00284058">
              <w:rPr>
                <w:lang w:val="es-ES_tradnl"/>
              </w:rPr>
              <w:t>, dir. por J. Pulgar, Ed. La Ley Wolters Kluwer, Madrid, 2016, pp. 1.605-1.722.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“Capítulo IV. La Declaración de Concurso”, en AA.VV., </w:t>
            </w:r>
            <w:r w:rsidRPr="00284058">
              <w:rPr>
                <w:i/>
                <w:lang w:val="es-ES_tradnl"/>
              </w:rPr>
              <w:t>Manual de Derecho Concursal</w:t>
            </w:r>
            <w:r w:rsidRPr="00284058">
              <w:rPr>
                <w:lang w:val="es-ES_tradnl"/>
              </w:rPr>
              <w:t>, dir. por J. Pulgar, Ed. Wolters Kluwer, Madrid, 2017, pp. 145-</w:t>
            </w:r>
            <w:r w:rsidRPr="00284058">
              <w:rPr>
                <w:lang w:val="es-ES_tradnl"/>
              </w:rPr>
              <w:lastRenderedPageBreak/>
              <w:t>174; 2ª Ed., 2019, pp. .</w:t>
            </w:r>
          </w:p>
          <w:p w:rsidR="00284058" w:rsidRPr="00284058" w:rsidRDefault="0053168E" w:rsidP="0053168E">
            <w:pPr>
              <w:rPr>
                <w:lang w:val="es-ES_tradnl"/>
              </w:rPr>
            </w:pPr>
            <w:r w:rsidRPr="0053168E">
              <w:rPr>
                <w:lang w:val="es-ES_tradnl"/>
              </w:rPr>
              <w:t xml:space="preserve">- “La prima applicazione della procedura di risoluzione bancaria del SRM: dubbi e valutazioni (provvisorie) alla luce del caso “Banco Popular”, </w:t>
            </w:r>
            <w:r w:rsidRPr="0053168E">
              <w:rPr>
                <w:i/>
                <w:lang w:val="es-ES_tradnl"/>
              </w:rPr>
              <w:t>Innovazione e Diritto, Rivista di Diritto Tributario e dell’Economia</w:t>
            </w:r>
            <w:r w:rsidRPr="0053168E">
              <w:rPr>
                <w:lang w:val="es-ES_tradnl"/>
              </w:rPr>
              <w:t>, 2017, nº 6, p. 102-144</w:t>
            </w:r>
            <w:r>
              <w:rPr>
                <w:lang w:val="es-ES_tradnl"/>
              </w:rPr>
              <w:t>; también en español,</w:t>
            </w:r>
            <w:r w:rsidRPr="0053168E">
              <w:t xml:space="preserve"> </w:t>
            </w:r>
            <w:r w:rsidR="00284058" w:rsidRPr="00284058">
              <w:t xml:space="preserve">“La primera aplicación del procedimiento de resolución bancaria por el MUR: dudas y valoraciones (provisionales) a la luz del caso Banco Popular”, en AA.VV., </w:t>
            </w:r>
            <w:r w:rsidR="00284058" w:rsidRPr="00284058">
              <w:rPr>
                <w:i/>
              </w:rPr>
              <w:t>Derecho de Sociedades y de los Mercados Financieros. Libro Homenaje a Carmen Alonso Ledesma</w:t>
            </w:r>
            <w:r w:rsidR="00284058" w:rsidRPr="00284058">
              <w:t>, Ed. Iustel, Madrid, 2018, pp. 1.083-1.116.</w:t>
            </w:r>
          </w:p>
          <w:p w:rsidR="00284058" w:rsidRPr="00284058" w:rsidRDefault="00284058" w:rsidP="00284058">
            <w:pPr>
              <w:rPr>
                <w:lang w:val="es-ES_tradnl"/>
              </w:rPr>
            </w:pPr>
            <w:r w:rsidRPr="00284058">
              <w:rPr>
                <w:lang w:val="es-ES_tradnl"/>
              </w:rPr>
              <w:t xml:space="preserve">- “La regulación de la retribución en las entidades de crédito. Una solución desenfocada a un problema menor”, en AA.VV., </w:t>
            </w:r>
            <w:r w:rsidRPr="00284058">
              <w:rPr>
                <w:i/>
                <w:lang w:val="es-ES_tradnl"/>
              </w:rPr>
              <w:t>Cuestiones controvertidas de la regulación bancaria. Gobierno, supervisión y resolución de entidades de crédito</w:t>
            </w:r>
            <w:r w:rsidRPr="00284058">
              <w:rPr>
                <w:lang w:val="es-ES_tradnl"/>
              </w:rPr>
              <w:t>, dir. por J.C. González Vázquez y J.L. Colino Mediavilla, Ed. La Ley-Wolters Kluwer, Madrid, 2018, pp. 243-322.</w:t>
            </w:r>
          </w:p>
          <w:p w:rsidR="00284058" w:rsidRPr="00284058" w:rsidRDefault="00284058" w:rsidP="00284058">
            <w:r w:rsidRPr="00284058">
              <w:rPr>
                <w:lang w:val="es-ES_tradnl"/>
              </w:rPr>
              <w:t xml:space="preserve">- “Regulación sobre la adquisición de acciones propias”, en AA.VV., </w:t>
            </w:r>
            <w:r w:rsidRPr="00284058">
              <w:rPr>
                <w:i/>
              </w:rPr>
              <w:t>Sociedades cotizadas y transparencia en los mercados</w:t>
            </w:r>
            <w:r w:rsidRPr="00284058">
              <w:t xml:space="preserve">, dir. por A. Roncero, T. I, Ed. Aranzadi, 2019 </w:t>
            </w:r>
            <w:r>
              <w:t>(en prensa).</w:t>
            </w:r>
          </w:p>
          <w:p w:rsidR="001D7F79" w:rsidRDefault="001D7F79" w:rsidP="006E5F82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284058" w:rsidP="00C875F1">
            <w:r>
              <w:t>Abogado en ejercicio</w:t>
            </w:r>
          </w:p>
          <w:p w:rsidR="00284058" w:rsidRDefault="00284058" w:rsidP="00C875F1">
            <w:r>
              <w:t>Administrador concursal</w:t>
            </w:r>
          </w:p>
          <w:p w:rsidR="00284058" w:rsidRDefault="00284058" w:rsidP="00C875F1">
            <w:r>
              <w:t>Árbitro</w:t>
            </w:r>
          </w:p>
        </w:tc>
      </w:tr>
    </w:tbl>
    <w:p w:rsidR="00EF2C9D" w:rsidRDefault="00EF2C9D"/>
    <w:sectPr w:rsidR="00EF2C9D" w:rsidSect="001D7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51" w:rsidRDefault="001C3B51" w:rsidP="001D7F79">
      <w:pPr>
        <w:spacing w:after="0" w:line="240" w:lineRule="auto"/>
      </w:pPr>
      <w:r>
        <w:separator/>
      </w:r>
    </w:p>
  </w:endnote>
  <w:endnote w:type="continuationSeparator" w:id="0">
    <w:p w:rsidR="001C3B51" w:rsidRDefault="001C3B51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51" w:rsidRDefault="001C3B51" w:rsidP="001D7F79">
      <w:pPr>
        <w:spacing w:after="0" w:line="240" w:lineRule="auto"/>
      </w:pPr>
      <w:r>
        <w:separator/>
      </w:r>
    </w:p>
  </w:footnote>
  <w:footnote w:type="continuationSeparator" w:id="0">
    <w:p w:rsidR="001C3B51" w:rsidRDefault="001C3B51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21B21"/>
    <w:rsid w:val="00044AD9"/>
    <w:rsid w:val="000C1074"/>
    <w:rsid w:val="000D7A4B"/>
    <w:rsid w:val="00111DFA"/>
    <w:rsid w:val="001139AD"/>
    <w:rsid w:val="0012179E"/>
    <w:rsid w:val="00126A29"/>
    <w:rsid w:val="00191B18"/>
    <w:rsid w:val="001B272D"/>
    <w:rsid w:val="001C3B51"/>
    <w:rsid w:val="001D5804"/>
    <w:rsid w:val="001D7F79"/>
    <w:rsid w:val="002726C7"/>
    <w:rsid w:val="00284058"/>
    <w:rsid w:val="002E0289"/>
    <w:rsid w:val="003A369F"/>
    <w:rsid w:val="004D76B6"/>
    <w:rsid w:val="00506DA3"/>
    <w:rsid w:val="0053168E"/>
    <w:rsid w:val="0055671E"/>
    <w:rsid w:val="005B38F9"/>
    <w:rsid w:val="006A0346"/>
    <w:rsid w:val="006E5F82"/>
    <w:rsid w:val="00704366"/>
    <w:rsid w:val="007579F8"/>
    <w:rsid w:val="00760D07"/>
    <w:rsid w:val="00780D55"/>
    <w:rsid w:val="00863858"/>
    <w:rsid w:val="0097390C"/>
    <w:rsid w:val="00974CD4"/>
    <w:rsid w:val="00990AA2"/>
    <w:rsid w:val="00A817B5"/>
    <w:rsid w:val="00AA6974"/>
    <w:rsid w:val="00B32F6A"/>
    <w:rsid w:val="00BF0367"/>
    <w:rsid w:val="00CC3283"/>
    <w:rsid w:val="00E12336"/>
    <w:rsid w:val="00EF2C9D"/>
    <w:rsid w:val="00F12F70"/>
    <w:rsid w:val="00F249AD"/>
    <w:rsid w:val="00F36336"/>
    <w:rsid w:val="00F46039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316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31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316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3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3</cp:revision>
  <dcterms:created xsi:type="dcterms:W3CDTF">2019-04-23T09:58:00Z</dcterms:created>
  <dcterms:modified xsi:type="dcterms:W3CDTF">2019-06-20T15:04:00Z</dcterms:modified>
</cp:coreProperties>
</file>